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E311" w14:textId="6DBA33E4" w:rsidR="00E23B56" w:rsidRPr="004F460E" w:rsidRDefault="00E11D99" w:rsidP="00810998">
      <w:pPr>
        <w:spacing w:after="0" w:line="240" w:lineRule="auto"/>
        <w:ind w:left="142"/>
        <w:jc w:val="center"/>
        <w:rPr>
          <w:rFonts w:cstheme="minorHAnsi"/>
          <w:b/>
          <w:color w:val="002060"/>
        </w:rPr>
      </w:pPr>
      <w:r w:rsidRPr="004F460E">
        <w:rPr>
          <w:rFonts w:cstheme="minorHAnsi"/>
          <w:b/>
          <w:color w:val="002060"/>
        </w:rPr>
        <w:t>Women’s Health Acupuncture CPD Course</w:t>
      </w:r>
    </w:p>
    <w:p w14:paraId="1B65A1A0" w14:textId="71E4D7F4" w:rsidR="00225AED" w:rsidRPr="004F460E" w:rsidRDefault="00225AED" w:rsidP="00810998">
      <w:pPr>
        <w:spacing w:after="0" w:line="240" w:lineRule="auto"/>
        <w:ind w:left="142"/>
        <w:jc w:val="center"/>
        <w:rPr>
          <w:rFonts w:cstheme="minorHAnsi"/>
          <w:bCs/>
          <w:i/>
          <w:iCs/>
          <w:color w:val="002060"/>
        </w:rPr>
      </w:pPr>
      <w:r w:rsidRPr="004F460E">
        <w:rPr>
          <w:rFonts w:cstheme="minorHAnsi"/>
          <w:bCs/>
          <w:i/>
          <w:iCs/>
          <w:color w:val="002060"/>
        </w:rPr>
        <w:t>LBP, Pelvic, Obstetric and Gynaecological</w:t>
      </w:r>
    </w:p>
    <w:p w14:paraId="61681CBB" w14:textId="656888A1" w:rsidR="00E23B56" w:rsidRPr="004F460E" w:rsidRDefault="00225AED" w:rsidP="00E23B56">
      <w:pPr>
        <w:spacing w:after="0" w:line="240" w:lineRule="auto"/>
        <w:jc w:val="center"/>
        <w:rPr>
          <w:rFonts w:cstheme="minorHAnsi"/>
          <w:b/>
          <w:i/>
          <w:color w:val="002060"/>
        </w:rPr>
      </w:pPr>
      <w:r w:rsidRPr="004F460E">
        <w:rPr>
          <w:rFonts w:cstheme="minorHAnsi"/>
          <w:b/>
          <w:i/>
          <w:color w:val="002060"/>
        </w:rPr>
        <w:t>By</w:t>
      </w:r>
      <w:r w:rsidR="00E23B56" w:rsidRPr="004F460E">
        <w:rPr>
          <w:rFonts w:cstheme="minorHAnsi"/>
          <w:b/>
          <w:i/>
          <w:color w:val="002060"/>
        </w:rPr>
        <w:t xml:space="preserve"> </w:t>
      </w:r>
      <w:r w:rsidR="00E11D99" w:rsidRPr="004F460E">
        <w:rPr>
          <w:rFonts w:cstheme="minorHAnsi"/>
          <w:b/>
          <w:i/>
          <w:color w:val="002060"/>
        </w:rPr>
        <w:t>Jon Hobbs</w:t>
      </w:r>
    </w:p>
    <w:p w14:paraId="72232758" w14:textId="77777777" w:rsidR="00E23B56" w:rsidRPr="004F460E" w:rsidRDefault="00E23B56" w:rsidP="00E23B56">
      <w:pPr>
        <w:spacing w:after="0" w:line="240" w:lineRule="auto"/>
        <w:rPr>
          <w:rFonts w:cstheme="minorHAnsi"/>
        </w:rPr>
      </w:pPr>
    </w:p>
    <w:p w14:paraId="515323B0" w14:textId="233AFFD4" w:rsidR="00E11D99" w:rsidRPr="004F460E" w:rsidRDefault="00E11D99" w:rsidP="00E11D99">
      <w:pPr>
        <w:pStyle w:val="Default"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Description </w:t>
      </w:r>
    </w:p>
    <w:p w14:paraId="6E907E8C" w14:textId="636AF341" w:rsidR="004F460E" w:rsidRPr="004F460E" w:rsidRDefault="004F460E" w:rsidP="004F460E">
      <w:pPr>
        <w:spacing w:after="0" w:line="240" w:lineRule="auto"/>
        <w:contextualSpacing/>
        <w:textAlignment w:val="baseline"/>
        <w:rPr>
          <w:rFonts w:eastAsia="Times New Roman" w:cstheme="minorHAnsi"/>
          <w:color w:val="000000"/>
          <w:lang w:eastAsia="en-GB"/>
        </w:rPr>
      </w:pPr>
      <w:r w:rsidRPr="004F460E">
        <w:rPr>
          <w:rFonts w:eastAsia="Times New Roman" w:cstheme="minorHAnsi"/>
          <w:color w:val="000000"/>
          <w:lang w:eastAsia="en-GB"/>
        </w:rPr>
        <w:t>This two</w:t>
      </w:r>
      <w:r w:rsidRPr="004F460E">
        <w:rPr>
          <w:rFonts w:eastAsia="Times New Roman" w:cstheme="minorHAnsi"/>
          <w:color w:val="000000"/>
          <w:lang w:eastAsia="en-GB"/>
        </w:rPr>
        <w:t>-</w:t>
      </w:r>
      <w:r w:rsidRPr="004F460E">
        <w:rPr>
          <w:rFonts w:eastAsia="Times New Roman" w:cstheme="minorHAnsi"/>
          <w:color w:val="000000"/>
          <w:lang w:eastAsia="en-GB"/>
        </w:rPr>
        <w:t xml:space="preserve">day course is designed to develop </w:t>
      </w:r>
      <w:proofErr w:type="gramStart"/>
      <w:r w:rsidRPr="004F460E">
        <w:rPr>
          <w:rFonts w:eastAsia="Times New Roman" w:cstheme="minorHAnsi"/>
          <w:color w:val="000000"/>
          <w:lang w:eastAsia="en-GB"/>
        </w:rPr>
        <w:t>practitioners</w:t>
      </w:r>
      <w:proofErr w:type="gramEnd"/>
      <w:r w:rsidRPr="004F460E">
        <w:rPr>
          <w:rFonts w:eastAsia="Times New Roman" w:cstheme="minorHAnsi"/>
          <w:color w:val="000000"/>
          <w:lang w:eastAsia="en-GB"/>
        </w:rPr>
        <w:t xml:space="preserve"> knowledge and practical skills to safely and effectively employ acupuncture in the treatment of a wide variety of conditions falling within the scope of pelvic, obstetric and gynaecological physiotherapy. This course provides a clinical reasoning model for the integration of evidence-based acupuncture into physiotherapy practice and focuses on the treatment of conditions within pelvic, obstetric and gynaecological physiotherapy.</w:t>
      </w:r>
    </w:p>
    <w:p w14:paraId="61267589" w14:textId="77777777" w:rsidR="004F460E" w:rsidRPr="004F460E" w:rsidRDefault="004F460E" w:rsidP="004F460E">
      <w:pPr>
        <w:spacing w:after="0" w:line="240" w:lineRule="auto"/>
        <w:contextualSpacing/>
        <w:textAlignment w:val="baseline"/>
        <w:rPr>
          <w:rFonts w:eastAsia="Times New Roman" w:cstheme="minorHAnsi"/>
          <w:color w:val="000000"/>
          <w:lang w:eastAsia="en-GB"/>
        </w:rPr>
      </w:pPr>
    </w:p>
    <w:p w14:paraId="748B4E04" w14:textId="77777777" w:rsidR="004F460E" w:rsidRPr="004F460E" w:rsidRDefault="004F460E" w:rsidP="004F460E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460E">
        <w:rPr>
          <w:rFonts w:asciiTheme="minorHAnsi" w:hAnsiTheme="minorHAnsi" w:cstheme="minorHAnsi"/>
          <w:color w:val="000000"/>
          <w:sz w:val="22"/>
          <w:szCs w:val="22"/>
        </w:rPr>
        <w:t xml:space="preserve">Includes the use of manual and electroacupuncture and protocols for </w:t>
      </w:r>
      <w:proofErr w:type="gramStart"/>
      <w:r w:rsidRPr="004F460E">
        <w:rPr>
          <w:rFonts w:asciiTheme="minorHAnsi" w:hAnsiTheme="minorHAnsi" w:cstheme="minorHAnsi"/>
          <w:color w:val="000000"/>
          <w:sz w:val="22"/>
          <w:szCs w:val="22"/>
        </w:rPr>
        <w:t>over active</w:t>
      </w:r>
      <w:proofErr w:type="gramEnd"/>
      <w:r w:rsidRPr="004F460E">
        <w:rPr>
          <w:rFonts w:asciiTheme="minorHAnsi" w:hAnsiTheme="minorHAnsi" w:cstheme="minorHAnsi"/>
          <w:color w:val="000000"/>
          <w:sz w:val="22"/>
          <w:szCs w:val="22"/>
        </w:rPr>
        <w:t xml:space="preserve"> bladder, dysmenorrhea, amenorrhea, endometriosis, menopausal symptoms, pelvic girdle pain and LBP in pregnancy, hyperemesis gravidarum, vulvar vestibulitis syndrome, polycystic ovary syndrome and more.</w:t>
      </w:r>
    </w:p>
    <w:p w14:paraId="7F7AF515" w14:textId="77777777" w:rsidR="004F460E" w:rsidRDefault="004F460E" w:rsidP="004F460E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0609F617" w14:textId="1F3CEDC9" w:rsidR="003959CC" w:rsidRPr="004F460E" w:rsidRDefault="003959CC" w:rsidP="004F460E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F460E">
        <w:rPr>
          <w:rFonts w:asciiTheme="minorHAnsi" w:hAnsiTheme="minorHAnsi" w:cstheme="minorHAnsi"/>
          <w:color w:val="000000"/>
          <w:sz w:val="22"/>
          <w:szCs w:val="22"/>
        </w:rPr>
        <w:t>This course provides a clinical reasoning model for the integration of evidence-based acupuncture into physiotherapy practice and focuses on the treatment of conditions within pelvic, obstetric and gynaecological physiotherapy.</w:t>
      </w:r>
    </w:p>
    <w:p w14:paraId="29C85C52" w14:textId="77777777" w:rsidR="003959CC" w:rsidRPr="004F460E" w:rsidRDefault="003959CC" w:rsidP="004F460E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3AD2C14" w14:textId="63BC7188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Aims </w:t>
      </w:r>
    </w:p>
    <w:p w14:paraId="4580BF86" w14:textId="0BC88931" w:rsidR="00E11D99" w:rsidRPr="004F460E" w:rsidRDefault="00E11D99" w:rsidP="004F460E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To develop participant’s theoretical knowledge of acupuncture and its role within the broad scope of women’s health </w:t>
      </w:r>
      <w:r w:rsidR="004F460E" w:rsidRPr="004F460E">
        <w:rPr>
          <w:rFonts w:asciiTheme="minorHAnsi" w:hAnsiTheme="minorHAnsi" w:cstheme="minorHAnsi"/>
          <w:sz w:val="22"/>
          <w:szCs w:val="22"/>
        </w:rPr>
        <w:t>including</w:t>
      </w:r>
      <w:r w:rsidRPr="004F460E">
        <w:rPr>
          <w:rFonts w:asciiTheme="minorHAnsi" w:hAnsiTheme="minorHAnsi" w:cstheme="minorHAnsi"/>
          <w:sz w:val="22"/>
          <w:szCs w:val="22"/>
        </w:rPr>
        <w:t xml:space="preserve"> incontinence, dysmenorrhea, amenorrhea, endometriosis, menopausal symptoms, pelvic girdle pain, vulvar vestibulitis syndrome, hyperemesis, polycystic ovary syndrome and infertility. </w:t>
      </w:r>
    </w:p>
    <w:p w14:paraId="774063B9" w14:textId="727144BE" w:rsidR="00E11D99" w:rsidRPr="004F460E" w:rsidRDefault="00E11D99" w:rsidP="004F460E">
      <w:pPr>
        <w:pStyle w:val="Default"/>
        <w:numPr>
          <w:ilvl w:val="0"/>
          <w:numId w:val="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To develop participant’s practical skills in the treatment of women’s health conditions within the area of obstetrics and gynaecology for a variety of clinical conditions </w:t>
      </w:r>
      <w:r w:rsidR="004F460E" w:rsidRPr="004F460E">
        <w:rPr>
          <w:rFonts w:asciiTheme="minorHAnsi" w:hAnsiTheme="minorHAnsi" w:cstheme="minorHAnsi"/>
          <w:sz w:val="22"/>
          <w:szCs w:val="22"/>
        </w:rPr>
        <w:t>including</w:t>
      </w:r>
      <w:r w:rsidRPr="004F460E">
        <w:rPr>
          <w:rFonts w:asciiTheme="minorHAnsi" w:hAnsiTheme="minorHAnsi" w:cstheme="minorHAnsi"/>
          <w:sz w:val="22"/>
          <w:szCs w:val="22"/>
        </w:rPr>
        <w:t xml:space="preserve"> incontinence, dysmenorrhea, amenorrhea, endometriosis, menopausal symptoms, pelvic girdle pain, vulvar vestibulitis syndrome, hyperemesis, polycystic ovary syndrome and infertility. </w:t>
      </w:r>
    </w:p>
    <w:p w14:paraId="3B05ACA1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7C3EAD8F" w14:textId="57037754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Training Objectives </w:t>
      </w:r>
    </w:p>
    <w:p w14:paraId="0B9542CF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Knowledge </w:t>
      </w:r>
    </w:p>
    <w:p w14:paraId="7830BC6A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To be able to: </w:t>
      </w:r>
    </w:p>
    <w:p w14:paraId="00B917B6" w14:textId="6CA2A85A" w:rsidR="00E11D99" w:rsidRPr="004F460E" w:rsidRDefault="00E11D99" w:rsidP="004F460E">
      <w:pPr>
        <w:pStyle w:val="Default"/>
        <w:numPr>
          <w:ilvl w:val="0"/>
          <w:numId w:val="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Develop a clinical reasoning model for the use of acupuncture within the area of obstetrics and gynaecology </w:t>
      </w:r>
    </w:p>
    <w:p w14:paraId="57CF557E" w14:textId="2D0FCA32" w:rsidR="00E11D99" w:rsidRPr="004F460E" w:rsidRDefault="00E11D99" w:rsidP="004F460E">
      <w:pPr>
        <w:pStyle w:val="Default"/>
        <w:numPr>
          <w:ilvl w:val="0"/>
          <w:numId w:val="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Select appropriate acupuncture points for the treatment of a variety of women’s health conditions. </w:t>
      </w:r>
    </w:p>
    <w:p w14:paraId="097B3741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80F9B57" w14:textId="2DFACC45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Skills </w:t>
      </w:r>
    </w:p>
    <w:p w14:paraId="16CF62A7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To be able to: </w:t>
      </w:r>
    </w:p>
    <w:p w14:paraId="09E43138" w14:textId="7CC11855" w:rsidR="00E11D99" w:rsidRPr="004F460E" w:rsidRDefault="00E11D99" w:rsidP="004F460E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Safely and effectively employ a variety of needling techniques for women’s health. </w:t>
      </w:r>
    </w:p>
    <w:p w14:paraId="1240E87E" w14:textId="342C1A21" w:rsidR="00E11D99" w:rsidRPr="004F460E" w:rsidRDefault="00E11D99" w:rsidP="004F460E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Safely and effectively use the acupuncture in the treatment of a variety of conditions. </w:t>
      </w:r>
    </w:p>
    <w:p w14:paraId="5F23F79F" w14:textId="01ABB347" w:rsidR="00E11D99" w:rsidRPr="004F460E" w:rsidRDefault="00E11D99" w:rsidP="004F460E">
      <w:pPr>
        <w:pStyle w:val="Default"/>
        <w:numPr>
          <w:ilvl w:val="0"/>
          <w:numId w:val="7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lastRenderedPageBreak/>
        <w:t xml:space="preserve">Safely and effectively select points for the use of acupuncture in the treatment of a variety of women’s health conditions based on an evidence based clinical reasoning model </w:t>
      </w:r>
    </w:p>
    <w:p w14:paraId="0B32913F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01DF8467" w14:textId="788115E9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color w:val="002060"/>
        </w:rPr>
      </w:pPr>
      <w:r w:rsidRPr="004F460E">
        <w:rPr>
          <w:rFonts w:asciiTheme="minorHAnsi" w:hAnsiTheme="minorHAnsi" w:cstheme="minorHAnsi"/>
          <w:b/>
          <w:bCs/>
          <w:color w:val="002060"/>
        </w:rPr>
        <w:t xml:space="preserve">Understanding </w:t>
      </w:r>
    </w:p>
    <w:p w14:paraId="76E71DA2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To understand: </w:t>
      </w:r>
    </w:p>
    <w:p w14:paraId="1B68D53B" w14:textId="14F8AAB0" w:rsidR="00E11D99" w:rsidRPr="004F460E" w:rsidRDefault="00E11D99" w:rsidP="004F460E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The pathology of a variety of women’s health conditions </w:t>
      </w:r>
    </w:p>
    <w:p w14:paraId="1FC8E8EA" w14:textId="6D0DE290" w:rsidR="00E11D99" w:rsidRPr="004F460E" w:rsidRDefault="00E11D99" w:rsidP="004F460E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The physiological basis of acupuncture in the area of obstetrics and gynaecology. </w:t>
      </w:r>
    </w:p>
    <w:p w14:paraId="799C207C" w14:textId="42BE9582" w:rsidR="00E11D99" w:rsidRPr="004F460E" w:rsidRDefault="00E11D99" w:rsidP="004F460E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The health and safety issues related to women’s health acupuncture. </w:t>
      </w:r>
    </w:p>
    <w:p w14:paraId="75974030" w14:textId="0B85BF87" w:rsidR="00E11D99" w:rsidRPr="004F460E" w:rsidRDefault="00E11D99" w:rsidP="004F460E">
      <w:pPr>
        <w:pStyle w:val="Default"/>
        <w:numPr>
          <w:ilvl w:val="0"/>
          <w:numId w:val="8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The clinically reasoned use of acupuncture within women’s health and its integration within a variety of therapy approaches. </w:t>
      </w:r>
    </w:p>
    <w:p w14:paraId="41BF3C88" w14:textId="77777777" w:rsidR="004F460E" w:rsidRDefault="004F460E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</w:p>
    <w:p w14:paraId="4686571D" w14:textId="27389BD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These objectives will be achieved through a variety of teaching strategies including lectures, tutorials, seminars, action groups, problem-based learning scenarios, clinical reasoning-based case studies and practical needling situations. Learning will also be supported by the course study manual and the use of research-based teaching materials and methods. </w:t>
      </w:r>
    </w:p>
    <w:p w14:paraId="74D7C95D" w14:textId="77777777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</w:p>
    <w:p w14:paraId="2AC8E01C" w14:textId="788B8550" w:rsidR="00E11D99" w:rsidRPr="004F460E" w:rsidRDefault="00E11D99" w:rsidP="004F460E">
      <w:pPr>
        <w:pStyle w:val="Default"/>
        <w:contextualSpacing/>
        <w:rPr>
          <w:rFonts w:asciiTheme="minorHAnsi" w:hAnsiTheme="minorHAnsi" w:cstheme="minorHAnsi"/>
          <w:sz w:val="22"/>
          <w:szCs w:val="22"/>
        </w:rPr>
      </w:pPr>
      <w:r w:rsidRPr="004F460E">
        <w:rPr>
          <w:rFonts w:asciiTheme="minorHAnsi" w:hAnsiTheme="minorHAnsi" w:cstheme="minorHAnsi"/>
          <w:sz w:val="22"/>
          <w:szCs w:val="22"/>
        </w:rPr>
        <w:t xml:space="preserve">Students will be provided with the following resources for their use on the </w:t>
      </w:r>
      <w:r w:rsidR="004F460E" w:rsidRPr="004F460E">
        <w:rPr>
          <w:rFonts w:asciiTheme="minorHAnsi" w:hAnsiTheme="minorHAnsi" w:cstheme="minorHAnsi"/>
          <w:sz w:val="22"/>
          <w:szCs w:val="22"/>
        </w:rPr>
        <w:t>course,</w:t>
      </w:r>
      <w:r w:rsidRPr="004F460E">
        <w:rPr>
          <w:rFonts w:asciiTheme="minorHAnsi" w:hAnsiTheme="minorHAnsi" w:cstheme="minorHAnsi"/>
          <w:sz w:val="22"/>
          <w:szCs w:val="22"/>
        </w:rPr>
        <w:t xml:space="preserve"> course manual, handouts, anatomical point location images and a selection of needles. </w:t>
      </w:r>
    </w:p>
    <w:p w14:paraId="3489B2C4" w14:textId="77777777" w:rsidR="00E11D99" w:rsidRPr="004F460E" w:rsidRDefault="00E11D99" w:rsidP="004F460E">
      <w:pPr>
        <w:spacing w:after="0" w:line="240" w:lineRule="auto"/>
        <w:contextualSpacing/>
        <w:rPr>
          <w:rFonts w:cstheme="minorHAnsi"/>
        </w:rPr>
      </w:pPr>
    </w:p>
    <w:p w14:paraId="38300112" w14:textId="45A05FD8" w:rsidR="00E23B56" w:rsidRPr="004F460E" w:rsidRDefault="00E11D99" w:rsidP="004F460E">
      <w:pPr>
        <w:spacing w:after="0" w:line="240" w:lineRule="auto"/>
        <w:contextualSpacing/>
        <w:rPr>
          <w:rFonts w:cstheme="minorHAnsi"/>
          <w:b/>
          <w:color w:val="002060"/>
          <w:sz w:val="24"/>
          <w:szCs w:val="24"/>
        </w:rPr>
      </w:pPr>
      <w:r w:rsidRPr="004F460E">
        <w:rPr>
          <w:rFonts w:cstheme="minorHAnsi"/>
          <w:b/>
          <w:color w:val="002060"/>
          <w:sz w:val="24"/>
          <w:szCs w:val="24"/>
        </w:rPr>
        <w:t>14 Hours CPD</w:t>
      </w:r>
    </w:p>
    <w:p w14:paraId="24A5D107" w14:textId="501070D5" w:rsidR="00E23B56" w:rsidRDefault="00E23B56" w:rsidP="004F460E">
      <w:pPr>
        <w:spacing w:after="0" w:line="240" w:lineRule="auto"/>
        <w:contextualSpacing/>
        <w:rPr>
          <w:rFonts w:cstheme="minorHAnsi"/>
        </w:rPr>
      </w:pPr>
    </w:p>
    <w:p w14:paraId="21C56D47" w14:textId="222B1034" w:rsidR="004F460E" w:rsidRPr="004F460E" w:rsidRDefault="004F460E" w:rsidP="004F460E">
      <w:pPr>
        <w:spacing w:after="0" w:line="240" w:lineRule="auto"/>
        <w:contextualSpacing/>
        <w:rPr>
          <w:rFonts w:cstheme="minorHAnsi"/>
        </w:rPr>
      </w:pPr>
      <w:r>
        <w:rPr>
          <w:noProof/>
          <w:sz w:val="24"/>
          <w:szCs w:val="24"/>
        </w:rPr>
        <w:drawing>
          <wp:inline distT="0" distB="0" distL="0" distR="0" wp14:anchorId="69195C4D" wp14:editId="0CF6E5C5">
            <wp:extent cx="1165860" cy="793278"/>
            <wp:effectExtent l="0" t="0" r="0" b="698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AACP approved logo mediu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131" cy="8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0C9F2" w14:textId="77777777" w:rsidR="00E23B56" w:rsidRPr="004F460E" w:rsidRDefault="00E23B56" w:rsidP="004F460E">
      <w:pPr>
        <w:spacing w:after="0" w:line="240" w:lineRule="auto"/>
        <w:contextualSpacing/>
        <w:rPr>
          <w:rFonts w:cstheme="minorHAnsi"/>
        </w:rPr>
      </w:pPr>
    </w:p>
    <w:p w14:paraId="1E5FF892" w14:textId="77777777" w:rsidR="00E23B56" w:rsidRPr="004F460E" w:rsidRDefault="00E23B56" w:rsidP="004F460E">
      <w:pPr>
        <w:spacing w:after="0" w:line="240" w:lineRule="auto"/>
        <w:contextualSpacing/>
        <w:rPr>
          <w:rFonts w:cstheme="minorHAnsi"/>
        </w:rPr>
      </w:pPr>
      <w:bookmarkStart w:id="0" w:name="_GoBack"/>
      <w:bookmarkEnd w:id="0"/>
    </w:p>
    <w:sectPr w:rsidR="00E23B56" w:rsidRPr="004F460E" w:rsidSect="004F460E">
      <w:headerReference w:type="default" r:id="rId9"/>
      <w:footerReference w:type="default" r:id="rId10"/>
      <w:pgSz w:w="11906" w:h="16838"/>
      <w:pgMar w:top="2737" w:right="1700" w:bottom="1440" w:left="1418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5A622" w14:textId="77777777" w:rsidR="00E23B56" w:rsidRDefault="00E23B56" w:rsidP="00E23B56">
      <w:pPr>
        <w:spacing w:after="0" w:line="240" w:lineRule="auto"/>
      </w:pPr>
      <w:r>
        <w:separator/>
      </w:r>
    </w:p>
  </w:endnote>
  <w:endnote w:type="continuationSeparator" w:id="0">
    <w:p w14:paraId="05A4D772" w14:textId="77777777" w:rsidR="00E23B56" w:rsidRDefault="00E23B56" w:rsidP="00E2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CCA4" w14:textId="786A4183" w:rsidR="00E23B56" w:rsidRDefault="004F460E" w:rsidP="00E23B56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04563" wp14:editId="10D8A2EF">
          <wp:simplePos x="0" y="0"/>
          <wp:positionH relativeFrom="column">
            <wp:posOffset>1390650</wp:posOffset>
          </wp:positionH>
          <wp:positionV relativeFrom="paragraph">
            <wp:posOffset>-590550</wp:posOffset>
          </wp:positionV>
          <wp:extent cx="5255685" cy="1229360"/>
          <wp:effectExtent l="0" t="0" r="2540" b="889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nts page line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53" r="23222"/>
                  <a:stretch/>
                </pic:blipFill>
                <pic:spPr bwMode="auto">
                  <a:xfrm flipH="1">
                    <a:off x="0" y="0"/>
                    <a:ext cx="525568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C72F7" w14:textId="77777777" w:rsidR="00E23B56" w:rsidRDefault="00E23B56" w:rsidP="00E23B56">
      <w:pPr>
        <w:spacing w:after="0" w:line="240" w:lineRule="auto"/>
      </w:pPr>
      <w:r>
        <w:separator/>
      </w:r>
    </w:p>
  </w:footnote>
  <w:footnote w:type="continuationSeparator" w:id="0">
    <w:p w14:paraId="57B2B085" w14:textId="77777777" w:rsidR="00E23B56" w:rsidRDefault="00E23B56" w:rsidP="00E2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0AD5" w14:textId="77777777" w:rsidR="00E23B56" w:rsidRPr="00E23B56" w:rsidRDefault="00E23B56" w:rsidP="00E23B56">
    <w:pPr>
      <w:pStyle w:val="Header"/>
      <w:tabs>
        <w:tab w:val="clear" w:pos="9026"/>
        <w:tab w:val="right" w:pos="10065"/>
      </w:tabs>
      <w:jc w:val="center"/>
    </w:pPr>
    <w:r>
      <w:rPr>
        <w:noProof/>
      </w:rPr>
      <w:drawing>
        <wp:inline distT="0" distB="0" distL="0" distR="0" wp14:anchorId="1EB5D3DD" wp14:editId="408D7CF5">
          <wp:extent cx="2331720" cy="94021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ACP_Logo_Blue280_with_strapline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320" cy="948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6014"/>
    <w:multiLevelType w:val="hybridMultilevel"/>
    <w:tmpl w:val="66E84B2C"/>
    <w:lvl w:ilvl="0" w:tplc="B4629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AFD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986"/>
    <w:multiLevelType w:val="hybridMultilevel"/>
    <w:tmpl w:val="B5E807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726EA"/>
    <w:multiLevelType w:val="hybridMultilevel"/>
    <w:tmpl w:val="5606B68C"/>
    <w:lvl w:ilvl="0" w:tplc="B4629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AFD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85957"/>
    <w:multiLevelType w:val="hybridMultilevel"/>
    <w:tmpl w:val="49D03294"/>
    <w:lvl w:ilvl="0" w:tplc="B46291E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BAFD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E43556"/>
    <w:multiLevelType w:val="hybridMultilevel"/>
    <w:tmpl w:val="CE10B3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C360D"/>
    <w:multiLevelType w:val="hybridMultilevel"/>
    <w:tmpl w:val="BA6083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7AC5"/>
    <w:multiLevelType w:val="hybridMultilevel"/>
    <w:tmpl w:val="77A687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6D23"/>
    <w:multiLevelType w:val="hybridMultilevel"/>
    <w:tmpl w:val="5D4817DE"/>
    <w:lvl w:ilvl="0" w:tplc="B46291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BAFD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56"/>
    <w:rsid w:val="00224A2A"/>
    <w:rsid w:val="00225AED"/>
    <w:rsid w:val="003959CC"/>
    <w:rsid w:val="00442CD6"/>
    <w:rsid w:val="00451B40"/>
    <w:rsid w:val="004F460E"/>
    <w:rsid w:val="00810998"/>
    <w:rsid w:val="009A5EE1"/>
    <w:rsid w:val="00AA3BA9"/>
    <w:rsid w:val="00E11D99"/>
    <w:rsid w:val="00E2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9778F"/>
  <w15:chartTrackingRefBased/>
  <w15:docId w15:val="{34BE3F28-0BE1-4270-BAFF-19244786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B56"/>
  </w:style>
  <w:style w:type="paragraph" w:styleId="Footer">
    <w:name w:val="footer"/>
    <w:basedOn w:val="Normal"/>
    <w:link w:val="FooterChar"/>
    <w:uiPriority w:val="99"/>
    <w:unhideWhenUsed/>
    <w:rsid w:val="00E23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56"/>
  </w:style>
  <w:style w:type="paragraph" w:customStyle="1" w:styleId="Default">
    <w:name w:val="Default"/>
    <w:rsid w:val="00E11D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9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C157F-21DE-4260-A482-CEF49D36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Buckingham</dc:creator>
  <cp:keywords/>
  <dc:description/>
  <cp:lastModifiedBy>Claire Buckingham</cp:lastModifiedBy>
  <cp:revision>2</cp:revision>
  <cp:lastPrinted>2019-10-09T09:33:00Z</cp:lastPrinted>
  <dcterms:created xsi:type="dcterms:W3CDTF">2020-01-17T10:41:00Z</dcterms:created>
  <dcterms:modified xsi:type="dcterms:W3CDTF">2020-01-17T10:41:00Z</dcterms:modified>
</cp:coreProperties>
</file>