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12FCF" w14:textId="77777777" w:rsidR="005E523C" w:rsidRPr="005E523C" w:rsidRDefault="005E523C" w:rsidP="005E523C">
      <w:r w:rsidRPr="005E523C">
        <w:rPr>
          <w:b/>
          <w:bCs/>
        </w:rPr>
        <w:t>Course Title:</w:t>
      </w:r>
      <w:r w:rsidRPr="005E523C">
        <w:br/>
      </w:r>
      <w:r w:rsidRPr="005E523C">
        <w:rPr>
          <w:b/>
          <w:bCs/>
        </w:rPr>
        <w:t>Advanced Review in Acupuncture and Dry Needling: Thoracic and Scapular Region</w:t>
      </w:r>
    </w:p>
    <w:p w14:paraId="76A402E5" w14:textId="5D2AA3C5" w:rsidR="005E523C" w:rsidRPr="005E523C" w:rsidRDefault="005E523C" w:rsidP="005E523C">
      <w:r w:rsidRPr="005E523C">
        <w:rPr>
          <w:b/>
          <w:bCs/>
        </w:rPr>
        <w:t>Course Description:</w:t>
      </w:r>
      <w:r w:rsidRPr="005E523C">
        <w:br/>
        <w:t>This course is designed for clinicians seeking to refresh and refine their theoretical knowledge and practical expertise in the safe and effective application of acupuncture and dry needling to the thoracic and scapular regions. It is ideally suited for practitioners who have already completed a recognised foundation-level training and are looking to deepen their clinical skills with confidence and precision.</w:t>
      </w:r>
    </w:p>
    <w:p w14:paraId="0D0FFE36" w14:textId="77777777" w:rsidR="005E523C" w:rsidRPr="005E523C" w:rsidRDefault="005E523C" w:rsidP="005E523C">
      <w:r w:rsidRPr="005E523C">
        <w:rPr>
          <w:b/>
          <w:bCs/>
        </w:rPr>
        <w:t>Course Aims:</w:t>
      </w:r>
    </w:p>
    <w:p w14:paraId="39980A33" w14:textId="77777777" w:rsidR="005E523C" w:rsidRPr="005E523C" w:rsidRDefault="005E523C" w:rsidP="005E523C">
      <w:pPr>
        <w:numPr>
          <w:ilvl w:val="0"/>
          <w:numId w:val="1"/>
        </w:numPr>
      </w:pPr>
      <w:r w:rsidRPr="005E523C">
        <w:t>To consolidate and advance participants’ theoretical understanding of acupuncture and dry needling within the thoracic and scapular regions.</w:t>
      </w:r>
    </w:p>
    <w:p w14:paraId="18CC234B" w14:textId="77777777" w:rsidR="005E523C" w:rsidRPr="005E523C" w:rsidRDefault="005E523C" w:rsidP="005E523C">
      <w:pPr>
        <w:numPr>
          <w:ilvl w:val="0"/>
          <w:numId w:val="1"/>
        </w:numPr>
      </w:pPr>
      <w:r w:rsidRPr="005E523C">
        <w:t>To enhance clinical reasoning and develop precision in the practical application of these techniques with a strong emphasis on safety and efficacy.</w:t>
      </w:r>
    </w:p>
    <w:p w14:paraId="6A72A2C6" w14:textId="77777777" w:rsidR="005E523C" w:rsidRPr="005E523C" w:rsidRDefault="005E523C" w:rsidP="005E523C">
      <w:r w:rsidRPr="005E523C">
        <w:rPr>
          <w:b/>
          <w:bCs/>
        </w:rPr>
        <w:t>Training Objectives:</w:t>
      </w:r>
    </w:p>
    <w:p w14:paraId="4ADB7E6A" w14:textId="77777777" w:rsidR="005E523C" w:rsidRPr="005E523C" w:rsidRDefault="005E523C" w:rsidP="005E523C">
      <w:r w:rsidRPr="005E523C">
        <w:rPr>
          <w:b/>
          <w:bCs/>
        </w:rPr>
        <w:t>Knowledge</w:t>
      </w:r>
      <w:r w:rsidRPr="005E523C">
        <w:br/>
        <w:t>Participants will enhance their understanding of:</w:t>
      </w:r>
    </w:p>
    <w:p w14:paraId="618D8558" w14:textId="77777777" w:rsidR="005E523C" w:rsidRPr="005E523C" w:rsidRDefault="005E523C" w:rsidP="005E523C">
      <w:pPr>
        <w:numPr>
          <w:ilvl w:val="0"/>
          <w:numId w:val="2"/>
        </w:numPr>
      </w:pPr>
      <w:r w:rsidRPr="005E523C">
        <w:t>The detailed anatomical topography of the thoracic and scapular regions.</w:t>
      </w:r>
    </w:p>
    <w:p w14:paraId="0D415CD6" w14:textId="77777777" w:rsidR="005E523C" w:rsidRPr="005E523C" w:rsidRDefault="005E523C" w:rsidP="005E523C">
      <w:pPr>
        <w:numPr>
          <w:ilvl w:val="0"/>
          <w:numId w:val="2"/>
        </w:numPr>
      </w:pPr>
      <w:r w:rsidRPr="005E523C">
        <w:t>Acupuncture and myofascial trigger point locations specific to this area.</w:t>
      </w:r>
    </w:p>
    <w:p w14:paraId="1F932562" w14:textId="77777777" w:rsidR="005E523C" w:rsidRPr="005E523C" w:rsidRDefault="005E523C" w:rsidP="005E523C">
      <w:pPr>
        <w:numPr>
          <w:ilvl w:val="0"/>
          <w:numId w:val="2"/>
        </w:numPr>
      </w:pPr>
      <w:r w:rsidRPr="005E523C">
        <w:t>Anatomical safety zones and associated risks when applying acupuncture and dry needling in the thoracic region.</w:t>
      </w:r>
    </w:p>
    <w:p w14:paraId="6B0DD772" w14:textId="77777777" w:rsidR="005E523C" w:rsidRPr="005E523C" w:rsidRDefault="005E523C" w:rsidP="005E523C">
      <w:r w:rsidRPr="005E523C">
        <w:rPr>
          <w:b/>
          <w:bCs/>
        </w:rPr>
        <w:t>Skills</w:t>
      </w:r>
      <w:r w:rsidRPr="005E523C">
        <w:br/>
        <w:t>By the end of the course, participants will be able to:</w:t>
      </w:r>
    </w:p>
    <w:p w14:paraId="0D0F2F1F" w14:textId="77777777" w:rsidR="005E523C" w:rsidRPr="005E523C" w:rsidRDefault="005E523C" w:rsidP="005E523C">
      <w:pPr>
        <w:numPr>
          <w:ilvl w:val="0"/>
          <w:numId w:val="3"/>
        </w:numPr>
      </w:pPr>
      <w:r w:rsidRPr="005E523C">
        <w:t>Accurately palpate and identify key anatomical landmarks in the thoracic and scapular regions.</w:t>
      </w:r>
    </w:p>
    <w:p w14:paraId="1A8F71BC" w14:textId="77777777" w:rsidR="005E523C" w:rsidRPr="005E523C" w:rsidRDefault="005E523C" w:rsidP="005E523C">
      <w:pPr>
        <w:numPr>
          <w:ilvl w:val="0"/>
          <w:numId w:val="3"/>
        </w:numPr>
      </w:pPr>
      <w:r w:rsidRPr="005E523C">
        <w:t>Recognise and assess predisposing risk factors that may influence safe and effective treatment.</w:t>
      </w:r>
    </w:p>
    <w:p w14:paraId="0C0AF8FD" w14:textId="77777777" w:rsidR="005E523C" w:rsidRPr="005E523C" w:rsidRDefault="005E523C" w:rsidP="005E523C">
      <w:pPr>
        <w:numPr>
          <w:ilvl w:val="0"/>
          <w:numId w:val="3"/>
        </w:numPr>
      </w:pPr>
      <w:r w:rsidRPr="005E523C">
        <w:t>Confidently and safely apply acupuncture and dry needling techniques within this anatomical area.</w:t>
      </w:r>
    </w:p>
    <w:p w14:paraId="1BFEC486" w14:textId="77777777" w:rsidR="005E523C" w:rsidRPr="005E523C" w:rsidRDefault="005E523C" w:rsidP="005E523C">
      <w:pPr>
        <w:numPr>
          <w:ilvl w:val="0"/>
          <w:numId w:val="3"/>
        </w:numPr>
      </w:pPr>
      <w:r w:rsidRPr="005E523C">
        <w:t>Integrate needling approaches as part of a comprehensive management strategy for thoracic and scapular pain and dysfunction.</w:t>
      </w:r>
    </w:p>
    <w:p w14:paraId="17C60E84" w14:textId="77777777" w:rsidR="005E523C" w:rsidRPr="005E523C" w:rsidRDefault="005E523C" w:rsidP="005E523C">
      <w:r w:rsidRPr="005E523C">
        <w:rPr>
          <w:b/>
          <w:bCs/>
        </w:rPr>
        <w:t>Understanding</w:t>
      </w:r>
      <w:r w:rsidRPr="005E523C">
        <w:br/>
        <w:t>Participants will develop a deeper understanding of:</w:t>
      </w:r>
    </w:p>
    <w:p w14:paraId="24279C85" w14:textId="77777777" w:rsidR="005E523C" w:rsidRPr="005E523C" w:rsidRDefault="005E523C" w:rsidP="005E523C">
      <w:pPr>
        <w:numPr>
          <w:ilvl w:val="0"/>
          <w:numId w:val="4"/>
        </w:numPr>
      </w:pPr>
      <w:r w:rsidRPr="005E523C">
        <w:t>The anatomical relationships critical to safe needle application.</w:t>
      </w:r>
    </w:p>
    <w:p w14:paraId="1EAC677F" w14:textId="77777777" w:rsidR="005E523C" w:rsidRPr="005E523C" w:rsidRDefault="005E523C" w:rsidP="005E523C">
      <w:pPr>
        <w:numPr>
          <w:ilvl w:val="0"/>
          <w:numId w:val="4"/>
        </w:numPr>
      </w:pPr>
      <w:r w:rsidRPr="005E523C">
        <w:t>Risk mitigation and health and safety considerations in clinical practice.</w:t>
      </w:r>
    </w:p>
    <w:p w14:paraId="570B2A0F" w14:textId="77777777" w:rsidR="005E523C" w:rsidRPr="005E523C" w:rsidRDefault="005E523C" w:rsidP="005E523C">
      <w:pPr>
        <w:numPr>
          <w:ilvl w:val="0"/>
          <w:numId w:val="4"/>
        </w:numPr>
      </w:pPr>
      <w:r w:rsidRPr="005E523C">
        <w:t>The clinical decision-making process involved in integrating acupuncture and dry needling into holistic patient management plans.</w:t>
      </w:r>
    </w:p>
    <w:p w14:paraId="625960C2" w14:textId="77777777" w:rsidR="005E523C" w:rsidRPr="005E523C" w:rsidRDefault="005E523C" w:rsidP="005E523C">
      <w:r w:rsidRPr="005E523C">
        <w:rPr>
          <w:b/>
          <w:bCs/>
        </w:rPr>
        <w:t>Teaching and Learning Methods:</w:t>
      </w:r>
      <w:r w:rsidRPr="005E523C">
        <w:br/>
        <w:t>The course is delivered through a dynamic combination of:</w:t>
      </w:r>
    </w:p>
    <w:p w14:paraId="19E1CE1E" w14:textId="77777777" w:rsidR="005E523C" w:rsidRPr="005E523C" w:rsidRDefault="005E523C" w:rsidP="005E523C">
      <w:pPr>
        <w:numPr>
          <w:ilvl w:val="0"/>
          <w:numId w:val="5"/>
        </w:numPr>
      </w:pPr>
      <w:r w:rsidRPr="005E523C">
        <w:t>Interactive lectures and tutorials</w:t>
      </w:r>
    </w:p>
    <w:p w14:paraId="06AD0DFF" w14:textId="77777777" w:rsidR="005E523C" w:rsidRPr="005E523C" w:rsidRDefault="005E523C" w:rsidP="005E523C">
      <w:pPr>
        <w:numPr>
          <w:ilvl w:val="0"/>
          <w:numId w:val="5"/>
        </w:numPr>
      </w:pPr>
      <w:r w:rsidRPr="005E523C">
        <w:t>Problem-based learning scenarios</w:t>
      </w:r>
    </w:p>
    <w:p w14:paraId="37FEB2D9" w14:textId="77777777" w:rsidR="005E523C" w:rsidRPr="005E523C" w:rsidRDefault="005E523C" w:rsidP="005E523C">
      <w:pPr>
        <w:numPr>
          <w:ilvl w:val="0"/>
          <w:numId w:val="5"/>
        </w:numPr>
      </w:pPr>
      <w:r w:rsidRPr="005E523C">
        <w:t>Clinical reasoning case studies</w:t>
      </w:r>
    </w:p>
    <w:p w14:paraId="4120060C" w14:textId="77777777" w:rsidR="005E523C" w:rsidRPr="005E523C" w:rsidRDefault="005E523C" w:rsidP="005E523C">
      <w:pPr>
        <w:numPr>
          <w:ilvl w:val="0"/>
          <w:numId w:val="5"/>
        </w:numPr>
      </w:pPr>
      <w:r w:rsidRPr="005E523C">
        <w:t>Hands-on practical needling sessions</w:t>
      </w:r>
    </w:p>
    <w:p w14:paraId="0494E4B0" w14:textId="77777777" w:rsidR="005E523C" w:rsidRPr="005E523C" w:rsidRDefault="005E523C" w:rsidP="005E523C">
      <w:r w:rsidRPr="005E523C">
        <w:t>Learning will be further supported by a detailed course manual and evidence-informed teaching materials designed to promote critical thinking and clinical application.</w:t>
      </w:r>
    </w:p>
    <w:p w14:paraId="5F15DDBF" w14:textId="77777777" w:rsidR="005E523C" w:rsidRPr="005E523C" w:rsidRDefault="005E523C" w:rsidP="005E523C">
      <w:r w:rsidRPr="005E523C">
        <w:rPr>
          <w:b/>
          <w:bCs/>
        </w:rPr>
        <w:t>Course Materials Provided:</w:t>
      </w:r>
    </w:p>
    <w:p w14:paraId="64E8CFDC" w14:textId="77777777" w:rsidR="005E523C" w:rsidRPr="005E523C" w:rsidRDefault="005E523C" w:rsidP="005E523C">
      <w:pPr>
        <w:numPr>
          <w:ilvl w:val="0"/>
          <w:numId w:val="6"/>
        </w:numPr>
      </w:pPr>
      <w:r w:rsidRPr="005E523C">
        <w:t>Course manual and handouts</w:t>
      </w:r>
    </w:p>
    <w:p w14:paraId="527B2534" w14:textId="77777777" w:rsidR="005E523C" w:rsidRPr="005E523C" w:rsidRDefault="005E523C" w:rsidP="005E523C">
      <w:pPr>
        <w:numPr>
          <w:ilvl w:val="0"/>
          <w:numId w:val="6"/>
        </w:numPr>
      </w:pPr>
      <w:r w:rsidRPr="005E523C">
        <w:t>A selection of acupuncture needles for use during practical sessions</w:t>
      </w:r>
    </w:p>
    <w:p w14:paraId="594F2683" w14:textId="77777777" w:rsidR="005E523C" w:rsidRPr="005E523C" w:rsidRDefault="005E523C" w:rsidP="005E523C">
      <w:r w:rsidRPr="005E523C">
        <w:rPr>
          <w:b/>
          <w:bCs/>
        </w:rPr>
        <w:t>Course Duration:</w:t>
      </w:r>
      <w:r w:rsidRPr="005E523C">
        <w:br/>
        <w:t>09:00–16:30 (7 CPD hours)</w:t>
      </w:r>
      <w:r w:rsidRPr="005E523C">
        <w:br/>
        <w:t>Theory to Practical Ratio: 1:3</w:t>
      </w:r>
    </w:p>
    <w:p w14:paraId="035242B1" w14:textId="77777777" w:rsidR="00C1525D" w:rsidRDefault="00C1525D"/>
    <w:sectPr w:rsidR="00C1525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50F83" w14:textId="77777777" w:rsidR="005E2962" w:rsidRDefault="005E2962" w:rsidP="005E523C">
      <w:pPr>
        <w:spacing w:after="0" w:line="240" w:lineRule="auto"/>
      </w:pPr>
      <w:r>
        <w:separator/>
      </w:r>
    </w:p>
  </w:endnote>
  <w:endnote w:type="continuationSeparator" w:id="0">
    <w:p w14:paraId="002730B4" w14:textId="77777777" w:rsidR="005E2962" w:rsidRDefault="005E2962" w:rsidP="005E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C79C9" w14:textId="77777777" w:rsidR="005E2962" w:rsidRDefault="005E2962" w:rsidP="005E523C">
      <w:pPr>
        <w:spacing w:after="0" w:line="240" w:lineRule="auto"/>
      </w:pPr>
      <w:r>
        <w:separator/>
      </w:r>
    </w:p>
  </w:footnote>
  <w:footnote w:type="continuationSeparator" w:id="0">
    <w:p w14:paraId="434BEF11" w14:textId="77777777" w:rsidR="005E2962" w:rsidRDefault="005E2962" w:rsidP="005E5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4C03E" w14:textId="2AF31AA2" w:rsidR="005E523C" w:rsidRPr="005E523C" w:rsidRDefault="005E523C" w:rsidP="005E523C">
    <w:pPr>
      <w:pStyle w:val="Header"/>
    </w:pPr>
    <w:r>
      <w:rPr>
        <w:noProof/>
      </w:rPr>
      <mc:AlternateContent>
        <mc:Choice Requires="wps">
          <w:drawing>
            <wp:anchor distT="0" distB="0" distL="114300" distR="114300" simplePos="0" relativeHeight="251659264" behindDoc="0" locked="0" layoutInCell="1" allowOverlap="1" wp14:anchorId="4B517698" wp14:editId="4B9C6181">
              <wp:simplePos x="0" y="0"/>
              <wp:positionH relativeFrom="column">
                <wp:posOffset>1631950</wp:posOffset>
              </wp:positionH>
              <wp:positionV relativeFrom="paragraph">
                <wp:posOffset>39370</wp:posOffset>
              </wp:positionV>
              <wp:extent cx="3092450" cy="781050"/>
              <wp:effectExtent l="0" t="0" r="12700" b="19050"/>
              <wp:wrapNone/>
              <wp:docPr id="910834281" name="Text Box 2"/>
              <wp:cNvGraphicFramePr/>
              <a:graphic xmlns:a="http://schemas.openxmlformats.org/drawingml/2006/main">
                <a:graphicData uri="http://schemas.microsoft.com/office/word/2010/wordprocessingShape">
                  <wps:wsp>
                    <wps:cNvSpPr txBox="1"/>
                    <wps:spPr>
                      <a:xfrm>
                        <a:off x="0" y="0"/>
                        <a:ext cx="3092450" cy="781050"/>
                      </a:xfrm>
                      <a:prstGeom prst="rect">
                        <a:avLst/>
                      </a:prstGeom>
                      <a:solidFill>
                        <a:schemeClr val="lt1"/>
                      </a:solidFill>
                      <a:ln w="6350">
                        <a:solidFill>
                          <a:prstClr val="black"/>
                        </a:solidFill>
                      </a:ln>
                    </wps:spPr>
                    <wps:txbx>
                      <w:txbxContent>
                        <w:p w14:paraId="17086B6B" w14:textId="77777777" w:rsidR="005E523C" w:rsidRPr="005E523C" w:rsidRDefault="005E523C" w:rsidP="005E523C">
                          <w:pPr>
                            <w:pStyle w:val="Header"/>
                          </w:pPr>
                          <w:r w:rsidRPr="005E523C">
                            <w:rPr>
                              <w:b/>
                              <w:bCs/>
                            </w:rPr>
                            <w:t xml:space="preserve">AACP Approved </w:t>
                          </w:r>
                        </w:p>
                        <w:p w14:paraId="390D99C6" w14:textId="77777777" w:rsidR="005E523C" w:rsidRPr="005E523C" w:rsidRDefault="005E523C" w:rsidP="005E523C">
                          <w:pPr>
                            <w:pStyle w:val="Header"/>
                          </w:pPr>
                          <w:r w:rsidRPr="005E523C">
                            <w:rPr>
                              <w:b/>
                              <w:bCs/>
                            </w:rPr>
                            <w:t xml:space="preserve">Continued Professional Development </w:t>
                          </w:r>
                        </w:p>
                        <w:p w14:paraId="59D119B8" w14:textId="77777777" w:rsidR="005E523C" w:rsidRDefault="005E523C" w:rsidP="005E523C">
                          <w:pPr>
                            <w:pStyle w:val="Header"/>
                          </w:pPr>
                          <w:r w:rsidRPr="005E523C">
                            <w:rPr>
                              <w:b/>
                              <w:bCs/>
                            </w:rPr>
                            <w:t>Thoracic Safety Acupuncture Course</w:t>
                          </w:r>
                        </w:p>
                        <w:p w14:paraId="00F6CCD5" w14:textId="77777777" w:rsidR="005E523C" w:rsidRDefault="005E5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517698" id="_x0000_t202" coordsize="21600,21600" o:spt="202" path="m,l,21600r21600,l21600,xe">
              <v:stroke joinstyle="miter"/>
              <v:path gradientshapeok="t" o:connecttype="rect"/>
            </v:shapetype>
            <v:shape id="Text Box 2" o:spid="_x0000_s1026" type="#_x0000_t202" style="position:absolute;margin-left:128.5pt;margin-top:3.1pt;width:243.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nNQIAAHwEAAAOAAAAZHJzL2Uyb0RvYy54bWysVEtv2zAMvg/YfxB0b+yk6cuIU2QpMgwI&#10;2gLp0LMiS7FRWdQkJXb260fJzqPtTsMuMilSH8mPpCf3ba3ITlhXgc7pcJBSIjSHotKbnP58WVzc&#10;UuI80wVToEVO98LR++nXL5PGZGIEJahCWIIg2mWNyWnpvcmSxPFS1MwNwAiNRgm2Zh5Vu0kKyxpE&#10;r1UyStPrpAFbGAtcOIe3D52RTiO+lIL7Jymd8ETlFHPz8bTxXIczmU5YtrHMlBXv02D/kEXNKo1B&#10;j1APzDOytdUnqLriFhxIP+BQJyBlxUWsAasZph+qWZXMiFgLkuPMkSb3/2D5425lni3x7TdosYGB&#10;kMa4zOFlqKeVtg5fzJSgHSncH2kTrSccLy/Tu9H4Ck0cbTe3wxRlhElOr411/ruAmgQhpxbbEtli&#10;u6XznevBJQRzoKpiUSkVlTAKYq4s2TFsovIxRwR/56U0aXJ6fYmhPyEE6OP7tWL8rU/vDAHxlMac&#10;T7UHybfrtidkDcUeebLQjZAzfFEh7pI5/8wszgzWj3vgn/CQCjAZ6CVKSrC//3Yf/LGVaKWkwRnM&#10;qfu1ZVZQon5obPLdcDwOQxuV8dXNCBV7blmfW/S2ngMyNMSNMzyKwd+rgygt1K+4LrMQFU1Mc4yd&#10;U38Q577bDFw3Lmaz6IRjaphf6pXhATqQG/h8aV+ZNX0/PU7CIxymlWUf2tr5hpcaZlsPsoo9DwR3&#10;rPa844jHqenXMezQuR69Tj+N6R8AAAD//wMAUEsDBBQABgAIAAAAIQBpa9Qf3AAAAAkBAAAPAAAA&#10;ZHJzL2Rvd25yZXYueG1sTI8xT8MwFIR3JP6D9ZDYqINV2jTEqQAVFiYKYn6NXdsitiPbTcO/5zHB&#10;eLrT3XftdvYDm3TKLgYJt4sKmA59VC4YCR/vzzc1sFwwKBxi0BK+dYZtd3nRYqPiObzpaV8Mo5KQ&#10;G5RgSxkbznNvtce8iKMO5B1j8lhIJsNVwjOV+4GLqlpxjy7QgsVRP1ndf+1PXsLu0WxMX2Oyu1o5&#10;N82fx1fzIuX11fxwD6zoufyF4Ref0KEjpkM8BZXZIEHcrelLkbASwMhfL5ekDxQUGwG8a/n/B90P&#10;AAAA//8DAFBLAQItABQABgAIAAAAIQC2gziS/gAAAOEBAAATAAAAAAAAAAAAAAAAAAAAAABbQ29u&#10;dGVudF9UeXBlc10ueG1sUEsBAi0AFAAGAAgAAAAhADj9If/WAAAAlAEAAAsAAAAAAAAAAAAAAAAA&#10;LwEAAF9yZWxzLy5yZWxzUEsBAi0AFAAGAAgAAAAhABsNj+c1AgAAfAQAAA4AAAAAAAAAAAAAAAAA&#10;LgIAAGRycy9lMm9Eb2MueG1sUEsBAi0AFAAGAAgAAAAhAGlr1B/cAAAACQEAAA8AAAAAAAAAAAAA&#10;AAAAjwQAAGRycy9kb3ducmV2LnhtbFBLBQYAAAAABAAEAPMAAACYBQAAAAA=&#10;" fillcolor="white [3201]" strokeweight=".5pt">
              <v:textbox>
                <w:txbxContent>
                  <w:p w14:paraId="17086B6B" w14:textId="77777777" w:rsidR="005E523C" w:rsidRPr="005E523C" w:rsidRDefault="005E523C" w:rsidP="005E523C">
                    <w:pPr>
                      <w:pStyle w:val="Header"/>
                    </w:pPr>
                    <w:r w:rsidRPr="005E523C">
                      <w:rPr>
                        <w:b/>
                        <w:bCs/>
                      </w:rPr>
                      <w:t xml:space="preserve">AACP Approved </w:t>
                    </w:r>
                  </w:p>
                  <w:p w14:paraId="390D99C6" w14:textId="77777777" w:rsidR="005E523C" w:rsidRPr="005E523C" w:rsidRDefault="005E523C" w:rsidP="005E523C">
                    <w:pPr>
                      <w:pStyle w:val="Header"/>
                    </w:pPr>
                    <w:r w:rsidRPr="005E523C">
                      <w:rPr>
                        <w:b/>
                        <w:bCs/>
                      </w:rPr>
                      <w:t xml:space="preserve">Continued Professional Development </w:t>
                    </w:r>
                  </w:p>
                  <w:p w14:paraId="59D119B8" w14:textId="77777777" w:rsidR="005E523C" w:rsidRDefault="005E523C" w:rsidP="005E523C">
                    <w:pPr>
                      <w:pStyle w:val="Header"/>
                    </w:pPr>
                    <w:r w:rsidRPr="005E523C">
                      <w:rPr>
                        <w:b/>
                        <w:bCs/>
                      </w:rPr>
                      <w:t>Thoracic Safety Acupuncture Course</w:t>
                    </w:r>
                  </w:p>
                  <w:p w14:paraId="00F6CCD5" w14:textId="77777777" w:rsidR="005E523C" w:rsidRDefault="005E523C"/>
                </w:txbxContent>
              </v:textbox>
            </v:shape>
          </w:pict>
        </mc:Fallback>
      </mc:AlternateContent>
    </w:r>
    <w:r w:rsidRPr="005E523C">
      <w:rPr>
        <w:noProof/>
      </w:rPr>
      <w:drawing>
        <wp:inline distT="0" distB="0" distL="0" distR="0" wp14:anchorId="404419C6" wp14:editId="4D0AE30E">
          <wp:extent cx="1327150" cy="894384"/>
          <wp:effectExtent l="0" t="0" r="6350" b="1270"/>
          <wp:docPr id="49725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894384"/>
                  </a:xfrm>
                  <a:prstGeom prst="rect">
                    <a:avLst/>
                  </a:prstGeom>
                  <a:noFill/>
                  <a:ln>
                    <a:noFill/>
                  </a:ln>
                </pic:spPr>
              </pic:pic>
            </a:graphicData>
          </a:graphic>
        </wp:inline>
      </w:drawing>
    </w:r>
  </w:p>
  <w:p w14:paraId="0F6877ED" w14:textId="7ABB7FFC" w:rsidR="005E523C" w:rsidRDefault="005E523C" w:rsidP="005E523C">
    <w:pPr>
      <w:pStyle w:val="Header"/>
    </w:pPr>
    <w:r w:rsidRPr="005E523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3CFA"/>
    <w:multiLevelType w:val="multilevel"/>
    <w:tmpl w:val="09D0D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44B8"/>
    <w:multiLevelType w:val="multilevel"/>
    <w:tmpl w:val="F4EA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6676D"/>
    <w:multiLevelType w:val="multilevel"/>
    <w:tmpl w:val="2CC04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9621C"/>
    <w:multiLevelType w:val="multilevel"/>
    <w:tmpl w:val="3B50C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C4817"/>
    <w:multiLevelType w:val="multilevel"/>
    <w:tmpl w:val="D310C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0B29A7"/>
    <w:multiLevelType w:val="multilevel"/>
    <w:tmpl w:val="4C98D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45306422">
    <w:abstractNumId w:val="1"/>
    <w:lvlOverride w:ilvl="0"/>
    <w:lvlOverride w:ilvl="1"/>
    <w:lvlOverride w:ilvl="2"/>
    <w:lvlOverride w:ilvl="3"/>
    <w:lvlOverride w:ilvl="4"/>
    <w:lvlOverride w:ilvl="5"/>
    <w:lvlOverride w:ilvl="6"/>
    <w:lvlOverride w:ilvl="7"/>
    <w:lvlOverride w:ilvl="8"/>
  </w:num>
  <w:num w:numId="2" w16cid:durableId="1710912656">
    <w:abstractNumId w:val="4"/>
    <w:lvlOverride w:ilvl="0"/>
    <w:lvlOverride w:ilvl="1"/>
    <w:lvlOverride w:ilvl="2"/>
    <w:lvlOverride w:ilvl="3"/>
    <w:lvlOverride w:ilvl="4"/>
    <w:lvlOverride w:ilvl="5"/>
    <w:lvlOverride w:ilvl="6"/>
    <w:lvlOverride w:ilvl="7"/>
    <w:lvlOverride w:ilvl="8"/>
  </w:num>
  <w:num w:numId="3" w16cid:durableId="1676881884">
    <w:abstractNumId w:val="2"/>
    <w:lvlOverride w:ilvl="0"/>
    <w:lvlOverride w:ilvl="1"/>
    <w:lvlOverride w:ilvl="2"/>
    <w:lvlOverride w:ilvl="3"/>
    <w:lvlOverride w:ilvl="4"/>
    <w:lvlOverride w:ilvl="5"/>
    <w:lvlOverride w:ilvl="6"/>
    <w:lvlOverride w:ilvl="7"/>
    <w:lvlOverride w:ilvl="8"/>
  </w:num>
  <w:num w:numId="4" w16cid:durableId="700084627">
    <w:abstractNumId w:val="5"/>
    <w:lvlOverride w:ilvl="0"/>
    <w:lvlOverride w:ilvl="1"/>
    <w:lvlOverride w:ilvl="2"/>
    <w:lvlOverride w:ilvl="3"/>
    <w:lvlOverride w:ilvl="4"/>
    <w:lvlOverride w:ilvl="5"/>
    <w:lvlOverride w:ilvl="6"/>
    <w:lvlOverride w:ilvl="7"/>
    <w:lvlOverride w:ilvl="8"/>
  </w:num>
  <w:num w:numId="5" w16cid:durableId="955058742">
    <w:abstractNumId w:val="0"/>
    <w:lvlOverride w:ilvl="0"/>
    <w:lvlOverride w:ilvl="1"/>
    <w:lvlOverride w:ilvl="2"/>
    <w:lvlOverride w:ilvl="3"/>
    <w:lvlOverride w:ilvl="4"/>
    <w:lvlOverride w:ilvl="5"/>
    <w:lvlOverride w:ilvl="6"/>
    <w:lvlOverride w:ilvl="7"/>
    <w:lvlOverride w:ilvl="8"/>
  </w:num>
  <w:num w:numId="6" w16cid:durableId="89839622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3C"/>
    <w:rsid w:val="005E2962"/>
    <w:rsid w:val="005E523C"/>
    <w:rsid w:val="00822D1C"/>
    <w:rsid w:val="00C1525D"/>
    <w:rsid w:val="00E4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AAB17"/>
  <w15:chartTrackingRefBased/>
  <w15:docId w15:val="{3431E74D-8E2F-47C6-89CE-BC75A2E6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2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2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2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2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52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5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2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2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2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2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2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2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23C"/>
    <w:rPr>
      <w:rFonts w:eastAsiaTheme="majorEastAsia" w:cstheme="majorBidi"/>
      <w:color w:val="272727" w:themeColor="text1" w:themeTint="D8"/>
    </w:rPr>
  </w:style>
  <w:style w:type="paragraph" w:styleId="Title">
    <w:name w:val="Title"/>
    <w:basedOn w:val="Normal"/>
    <w:next w:val="Normal"/>
    <w:link w:val="TitleChar"/>
    <w:uiPriority w:val="10"/>
    <w:qFormat/>
    <w:rsid w:val="005E5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2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2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23C"/>
    <w:pPr>
      <w:spacing w:before="160"/>
      <w:jc w:val="center"/>
    </w:pPr>
    <w:rPr>
      <w:i/>
      <w:iCs/>
      <w:color w:val="404040" w:themeColor="text1" w:themeTint="BF"/>
    </w:rPr>
  </w:style>
  <w:style w:type="character" w:customStyle="1" w:styleId="QuoteChar">
    <w:name w:val="Quote Char"/>
    <w:basedOn w:val="DefaultParagraphFont"/>
    <w:link w:val="Quote"/>
    <w:uiPriority w:val="29"/>
    <w:rsid w:val="005E523C"/>
    <w:rPr>
      <w:i/>
      <w:iCs/>
      <w:color w:val="404040" w:themeColor="text1" w:themeTint="BF"/>
    </w:rPr>
  </w:style>
  <w:style w:type="paragraph" w:styleId="ListParagraph">
    <w:name w:val="List Paragraph"/>
    <w:basedOn w:val="Normal"/>
    <w:uiPriority w:val="34"/>
    <w:qFormat/>
    <w:rsid w:val="005E523C"/>
    <w:pPr>
      <w:ind w:left="720"/>
      <w:contextualSpacing/>
    </w:pPr>
  </w:style>
  <w:style w:type="character" w:styleId="IntenseEmphasis">
    <w:name w:val="Intense Emphasis"/>
    <w:basedOn w:val="DefaultParagraphFont"/>
    <w:uiPriority w:val="21"/>
    <w:qFormat/>
    <w:rsid w:val="005E523C"/>
    <w:rPr>
      <w:i/>
      <w:iCs/>
      <w:color w:val="0F4761" w:themeColor="accent1" w:themeShade="BF"/>
    </w:rPr>
  </w:style>
  <w:style w:type="paragraph" w:styleId="IntenseQuote">
    <w:name w:val="Intense Quote"/>
    <w:basedOn w:val="Normal"/>
    <w:next w:val="Normal"/>
    <w:link w:val="IntenseQuoteChar"/>
    <w:uiPriority w:val="30"/>
    <w:qFormat/>
    <w:rsid w:val="005E52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23C"/>
    <w:rPr>
      <w:i/>
      <w:iCs/>
      <w:color w:val="0F4761" w:themeColor="accent1" w:themeShade="BF"/>
    </w:rPr>
  </w:style>
  <w:style w:type="character" w:styleId="IntenseReference">
    <w:name w:val="Intense Reference"/>
    <w:basedOn w:val="DefaultParagraphFont"/>
    <w:uiPriority w:val="32"/>
    <w:qFormat/>
    <w:rsid w:val="005E523C"/>
    <w:rPr>
      <w:b/>
      <w:bCs/>
      <w:smallCaps/>
      <w:color w:val="0F4761" w:themeColor="accent1" w:themeShade="BF"/>
      <w:spacing w:val="5"/>
    </w:rPr>
  </w:style>
  <w:style w:type="paragraph" w:styleId="Header">
    <w:name w:val="header"/>
    <w:basedOn w:val="Normal"/>
    <w:link w:val="HeaderChar"/>
    <w:uiPriority w:val="99"/>
    <w:unhideWhenUsed/>
    <w:rsid w:val="005E5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23C"/>
  </w:style>
  <w:style w:type="paragraph" w:styleId="Footer">
    <w:name w:val="footer"/>
    <w:basedOn w:val="Normal"/>
    <w:link w:val="FooterChar"/>
    <w:uiPriority w:val="99"/>
    <w:unhideWhenUsed/>
    <w:rsid w:val="005E5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575036">
      <w:bodyDiv w:val="1"/>
      <w:marLeft w:val="0"/>
      <w:marRight w:val="0"/>
      <w:marTop w:val="0"/>
      <w:marBottom w:val="0"/>
      <w:divBdr>
        <w:top w:val="none" w:sz="0" w:space="0" w:color="auto"/>
        <w:left w:val="none" w:sz="0" w:space="0" w:color="auto"/>
        <w:bottom w:val="none" w:sz="0" w:space="0" w:color="auto"/>
        <w:right w:val="none" w:sz="0" w:space="0" w:color="auto"/>
      </w:divBdr>
    </w:div>
    <w:div w:id="77044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Battersby</dc:creator>
  <cp:keywords/>
  <dc:description/>
  <cp:lastModifiedBy>Paul Battersby</cp:lastModifiedBy>
  <cp:revision>1</cp:revision>
  <dcterms:created xsi:type="dcterms:W3CDTF">2025-07-22T13:39:00Z</dcterms:created>
  <dcterms:modified xsi:type="dcterms:W3CDTF">2025-07-22T13:47:00Z</dcterms:modified>
</cp:coreProperties>
</file>